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CCA09">
      <w:pPr>
        <w:pStyle w:val="15"/>
        <w:jc w:val="left"/>
        <w:rPr>
          <w:sz w:val="36"/>
          <w:szCs w:val="22"/>
        </w:rPr>
      </w:pPr>
      <w:r>
        <w:rPr>
          <w:b/>
          <w:sz w:val="36"/>
          <w:szCs w:val="22"/>
        </w:rPr>
        <w:t>《</w:t>
      </w:r>
      <w:bookmarkStart w:id="0" w:name="_GoBack"/>
      <w:r>
        <w:rPr>
          <w:b/>
          <w:sz w:val="36"/>
          <w:szCs w:val="22"/>
        </w:rPr>
        <w:t>AI 算力：从计算资源到新型生产要素的体系化认知</w:t>
      </w:r>
      <w:bookmarkEnd w:id="0"/>
      <w:r>
        <w:rPr>
          <w:b/>
          <w:sz w:val="36"/>
          <w:szCs w:val="22"/>
        </w:rPr>
        <w:t>》</w:t>
      </w:r>
    </w:p>
    <w:p w14:paraId="26CE09B9">
      <w:pPr>
        <w:pStyle w:val="3"/>
      </w:pPr>
      <w:r>
        <w:t>一、课程背景</w:t>
      </w:r>
    </w:p>
    <w:p w14:paraId="286C8D4D">
      <w:r>
        <w:t>随着大模型、AIGC、AI Agent 等应用的快速落地，算力正在从传统 IT 基础资源，演变为支撑智能化发展的</w:t>
      </w:r>
      <w:r>
        <w:rPr>
          <w:b/>
        </w:rPr>
        <w:t>核心生产要素</w:t>
      </w:r>
      <w:r>
        <w:t>。对中国通讯运营商而言，算力不再只是云资源的一部分，而是与网络、数据深度耦合，形成“</w:t>
      </w:r>
      <w:r>
        <w:rPr>
          <w:b/>
        </w:rPr>
        <w:t>网—云—算—数—智</w:t>
      </w:r>
      <w:r>
        <w:t>”一体化能力体系的重要支点。</w:t>
      </w:r>
    </w:p>
    <w:p w14:paraId="57001E66">
      <w:r>
        <w:t>当前算力建设与使用过程中，普遍存在</w:t>
      </w:r>
      <w:r>
        <w:rPr>
          <w:b/>
        </w:rPr>
        <w:t>概念混用、能力边界不清、应用场景模糊、商业模式不成熟</w:t>
      </w:r>
      <w:r>
        <w:t>等问题，影响了算力资源的规模化利用与价值释放。同时，国家层面持续推进“东数西算”“算力网络”等战略，对运营商算力能力提出了更高要求。</w:t>
      </w:r>
    </w:p>
    <w:p w14:paraId="0E10DE2E">
      <w:r>
        <w:t>本课程以“</w:t>
      </w:r>
      <w:r>
        <w:rPr>
          <w:b/>
        </w:rPr>
        <w:t>算力是什么、算力从哪里来、算力怎么用、运营商如何布局</w:t>
      </w:r>
      <w:r>
        <w:t>”为主线，系统梳理 AI 算力的</w:t>
      </w:r>
      <w:r>
        <w:rPr>
          <w:b/>
        </w:rPr>
        <w:t>技术体系、形态结构、应用模式与运营商战略机会</w:t>
      </w:r>
      <w:r>
        <w:t>，帮助学员建立清晰、可执行的整体认知。</w:t>
      </w:r>
    </w:p>
    <w:p w14:paraId="7EAF93CF">
      <w:pPr>
        <w:pStyle w:val="3"/>
      </w:pPr>
      <w:r>
        <w:t>二、课程收获</w:t>
      </w:r>
    </w:p>
    <w:p w14:paraId="317047C7">
      <w:r>
        <w:t>完成本课程后，学员将能够：</w:t>
      </w:r>
    </w:p>
    <w:p w14:paraId="289C6E9B">
      <w:pPr>
        <w:numPr>
          <w:ilvl w:val="0"/>
          <w:numId w:val="1"/>
        </w:numPr>
      </w:pPr>
      <w:r>
        <w:rPr>
          <w:b/>
        </w:rPr>
        <w:t>建立清晰的算力认知框架</w:t>
      </w:r>
    </w:p>
    <w:p w14:paraId="0936B189">
      <w:pPr>
        <w:numPr>
          <w:ilvl w:val="0"/>
          <w:numId w:val="2"/>
        </w:numPr>
      </w:pPr>
      <w:r>
        <w:t>理解 AI 算力与传统计算资源的本质差异</w:t>
      </w:r>
    </w:p>
    <w:p w14:paraId="7E28980D">
      <w:pPr>
        <w:numPr>
          <w:ilvl w:val="0"/>
          <w:numId w:val="2"/>
        </w:numPr>
      </w:pPr>
      <w:r>
        <w:t>区分训练算力、推理算力与通用算力</w:t>
      </w:r>
    </w:p>
    <w:p w14:paraId="5D397317">
      <w:pPr>
        <w:numPr>
          <w:ilvl w:val="0"/>
          <w:numId w:val="1"/>
        </w:numPr>
      </w:pPr>
      <w:r>
        <w:rPr>
          <w:b/>
        </w:rPr>
        <w:t>看懂算力技术与体系结构</w:t>
      </w:r>
    </w:p>
    <w:p w14:paraId="3CBF2B71">
      <w:pPr>
        <w:numPr>
          <w:ilvl w:val="0"/>
          <w:numId w:val="3"/>
        </w:numPr>
      </w:pPr>
      <w:r>
        <w:t>掌握算力的关键技术构成</w:t>
      </w:r>
    </w:p>
    <w:p w14:paraId="239F52B9">
      <w:pPr>
        <w:numPr>
          <w:ilvl w:val="0"/>
          <w:numId w:val="3"/>
        </w:numPr>
      </w:pPr>
      <w:r>
        <w:t>理解云、边、端协同的算力架构</w:t>
      </w:r>
    </w:p>
    <w:p w14:paraId="5D55D325">
      <w:pPr>
        <w:numPr>
          <w:ilvl w:val="0"/>
          <w:numId w:val="1"/>
        </w:numPr>
      </w:pPr>
      <w:r>
        <w:rPr>
          <w:b/>
        </w:rPr>
        <w:t>识别算力的应用与价值场景</w:t>
      </w:r>
    </w:p>
    <w:p w14:paraId="7FEC7C01">
      <w:pPr>
        <w:numPr>
          <w:ilvl w:val="0"/>
          <w:numId w:val="4"/>
        </w:numPr>
      </w:pPr>
      <w:r>
        <w:t>明确算力在 AI、大模型、行业应用中的作用</w:t>
      </w:r>
    </w:p>
    <w:p w14:paraId="5BC1856C">
      <w:pPr>
        <w:numPr>
          <w:ilvl w:val="0"/>
          <w:numId w:val="4"/>
        </w:numPr>
      </w:pPr>
      <w:r>
        <w:t>识别算力资源配置与业务需求之间的匹配逻辑</w:t>
      </w:r>
    </w:p>
    <w:p w14:paraId="34D45D20">
      <w:pPr>
        <w:numPr>
          <w:ilvl w:val="0"/>
          <w:numId w:val="1"/>
        </w:numPr>
      </w:pPr>
      <w:r>
        <w:rPr>
          <w:b/>
        </w:rPr>
        <w:t>明确运营商的算力发展方向</w:t>
      </w:r>
    </w:p>
    <w:p w14:paraId="58DB8936">
      <w:pPr>
        <w:numPr>
          <w:ilvl w:val="0"/>
          <w:numId w:val="5"/>
        </w:numPr>
      </w:pPr>
      <w:r>
        <w:t>理解运营商在算力产业链中的角色</w:t>
      </w:r>
    </w:p>
    <w:p w14:paraId="37788EA9">
      <w:pPr>
        <w:numPr>
          <w:ilvl w:val="0"/>
          <w:numId w:val="5"/>
        </w:numPr>
      </w:pPr>
      <w:r>
        <w:t>形成算力建设与运营的整体思路</w:t>
      </w:r>
    </w:p>
    <w:p w14:paraId="311746A9">
      <w:pPr>
        <w:pStyle w:val="3"/>
      </w:pPr>
      <w:r>
        <w:t>三、课程时长</w:t>
      </w:r>
    </w:p>
    <w:p w14:paraId="7CA2F456">
      <w:pPr>
        <w:numPr>
          <w:ilvl w:val="0"/>
          <w:numId w:val="6"/>
        </w:numPr>
      </w:pPr>
      <w:r>
        <w:rPr>
          <w:b/>
        </w:rPr>
        <w:t>1 天（6 小时）</w:t>
      </w:r>
    </w:p>
    <w:p w14:paraId="4FBADD38">
      <w:pPr>
        <w:numPr>
          <w:ilvl w:val="0"/>
          <w:numId w:val="6"/>
        </w:numPr>
      </w:pPr>
      <w:r>
        <w:t>建议安排：</w:t>
      </w:r>
    </w:p>
    <w:p w14:paraId="34246B90">
      <w:pPr>
        <w:numPr>
          <w:ilvl w:val="1"/>
          <w:numId w:val="6"/>
        </w:numPr>
      </w:pPr>
      <w:r>
        <w:t>上午：算力认知与技术体系（3h）</w:t>
      </w:r>
    </w:p>
    <w:p w14:paraId="3CD12D8F">
      <w:pPr>
        <w:numPr>
          <w:ilvl w:val="1"/>
          <w:numId w:val="6"/>
        </w:numPr>
      </w:pPr>
      <w:r>
        <w:t>下午：应用场景与运营商路径（3h）</w:t>
      </w:r>
    </w:p>
    <w:p w14:paraId="08C3C4FB">
      <w:pPr>
        <w:pStyle w:val="3"/>
      </w:pPr>
      <w:r>
        <w:t>四、课程大纲（三级大纲）</w:t>
      </w:r>
    </w:p>
    <w:p w14:paraId="67607450">
      <w:pPr>
        <w:pStyle w:val="3"/>
      </w:pPr>
      <w:r>
        <w:t>第一模块：为什么 AI 时代必须重新理解“算力”（1.5h）</w:t>
      </w:r>
    </w:p>
    <w:p w14:paraId="599D9A72">
      <w:pPr>
        <w:pStyle w:val="4"/>
      </w:pPr>
      <w:r>
        <w:t>1.1 从计算资源到生产要素的演进</w:t>
      </w:r>
    </w:p>
    <w:p w14:paraId="69279C73">
      <w:r>
        <w:rPr>
          <w:b/>
        </w:rPr>
        <w:t>1.1.1 传统算力的角色定位</w:t>
      </w:r>
    </w:p>
    <w:p w14:paraId="5683A428">
      <w:pPr>
        <w:numPr>
          <w:ilvl w:val="0"/>
          <w:numId w:val="7"/>
        </w:numPr>
      </w:pPr>
      <w:r>
        <w:t>计算、存储、网络的基础资源属性</w:t>
      </w:r>
    </w:p>
    <w:p w14:paraId="455D4B5D">
      <w:pPr>
        <w:numPr>
          <w:ilvl w:val="0"/>
          <w:numId w:val="7"/>
        </w:numPr>
      </w:pPr>
      <w:r>
        <w:t>算力长期被视为“成本项”的原因</w:t>
      </w:r>
    </w:p>
    <w:p w14:paraId="0C385450">
      <w:r>
        <w:rPr>
          <w:b/>
        </w:rPr>
        <w:t>1.1.2 AI 对算力需求的结构性变化</w:t>
      </w:r>
    </w:p>
    <w:p w14:paraId="52CD69C1">
      <w:pPr>
        <w:numPr>
          <w:ilvl w:val="0"/>
          <w:numId w:val="8"/>
        </w:numPr>
      </w:pPr>
      <w:r>
        <w:t>算力规模指数级增长</w:t>
      </w:r>
    </w:p>
    <w:p w14:paraId="40917DA2">
      <w:pPr>
        <w:numPr>
          <w:ilvl w:val="0"/>
          <w:numId w:val="8"/>
        </w:numPr>
      </w:pPr>
      <w:r>
        <w:t>并行计算与加速计算成为主流</w:t>
      </w:r>
    </w:p>
    <w:p w14:paraId="688C52BA">
      <w:r>
        <w:rPr>
          <w:b/>
        </w:rPr>
        <w:t>1.1.3 为什么说“没有算力，就没有 AI”</w:t>
      </w:r>
    </w:p>
    <w:p w14:paraId="3ED493F5">
      <w:pPr>
        <w:numPr>
          <w:ilvl w:val="0"/>
          <w:numId w:val="9"/>
        </w:numPr>
      </w:pPr>
      <w:r>
        <w:t>模型规模与算力之间的直接关系</w:t>
      </w:r>
    </w:p>
    <w:p w14:paraId="2496EE0B">
      <w:pPr>
        <w:numPr>
          <w:ilvl w:val="0"/>
          <w:numId w:val="9"/>
        </w:numPr>
      </w:pPr>
      <w:r>
        <w:t>算力对模型能力上限的决定性影响</w:t>
      </w:r>
    </w:p>
    <w:p w14:paraId="0C116BC0">
      <w:pPr>
        <w:pStyle w:val="4"/>
      </w:pPr>
      <w:r>
        <w:t>1.2 AI 算力的核心概念澄清</w:t>
      </w:r>
    </w:p>
    <w:p w14:paraId="764F8F9E">
      <w:r>
        <w:rPr>
          <w:b/>
        </w:rPr>
        <w:t>1.2.1 什么是 AI 算力</w:t>
      </w:r>
    </w:p>
    <w:p w14:paraId="7CC07EC9">
      <w:pPr>
        <w:numPr>
          <w:ilvl w:val="0"/>
          <w:numId w:val="10"/>
        </w:numPr>
      </w:pPr>
      <w:r>
        <w:t>面向 AI 训练与推理的计算能力总和</w:t>
      </w:r>
    </w:p>
    <w:p w14:paraId="3B4786EA">
      <w:r>
        <w:rPr>
          <w:b/>
        </w:rPr>
        <w:t>1.2.2 通用算力 vs AI 算力</w:t>
      </w:r>
    </w:p>
    <w:p w14:paraId="5F6296F8">
      <w:pPr>
        <w:numPr>
          <w:ilvl w:val="0"/>
          <w:numId w:val="11"/>
        </w:numPr>
      </w:pPr>
      <w:r>
        <w:t>CPU 为主的通用计算</w:t>
      </w:r>
    </w:p>
    <w:p w14:paraId="44532DFF">
      <w:pPr>
        <w:numPr>
          <w:ilvl w:val="0"/>
          <w:numId w:val="11"/>
        </w:numPr>
      </w:pPr>
      <w:r>
        <w:t>GPU / NPU / ASIC 为主的智能计算</w:t>
      </w:r>
    </w:p>
    <w:p w14:paraId="3FE65107">
      <w:r>
        <w:rPr>
          <w:b/>
        </w:rPr>
        <w:t>1.2.3 训练算力与推理算力的区别</w:t>
      </w:r>
    </w:p>
    <w:p w14:paraId="16534AA6">
      <w:pPr>
        <w:numPr>
          <w:ilvl w:val="0"/>
          <w:numId w:val="12"/>
        </w:numPr>
      </w:pPr>
      <w:r>
        <w:t>资源消耗模式差异</w:t>
      </w:r>
    </w:p>
    <w:p w14:paraId="20F07C95">
      <w:pPr>
        <w:numPr>
          <w:ilvl w:val="0"/>
          <w:numId w:val="12"/>
        </w:numPr>
      </w:pPr>
      <w:r>
        <w:t>业务需求与部署方式差异</w:t>
      </w:r>
    </w:p>
    <w:p w14:paraId="2E986E9A">
      <w:pPr>
        <w:pStyle w:val="4"/>
      </w:pPr>
      <w:r>
        <w:t>1.3 国家战略与算力发展趋势</w:t>
      </w:r>
    </w:p>
    <w:p w14:paraId="076F0310">
      <w:r>
        <w:rPr>
          <w:b/>
        </w:rPr>
        <w:t>1.3.1 “东数西算”与算力布局逻辑</w:t>
      </w:r>
    </w:p>
    <w:p w14:paraId="5055768E">
      <w:r>
        <w:rPr>
          <w:b/>
        </w:rPr>
        <w:t>1.3.2 算力网络的提出背景与目标</w:t>
      </w:r>
    </w:p>
    <w:p w14:paraId="37630925">
      <w:r>
        <w:rPr>
          <w:b/>
        </w:rPr>
        <w:t>1.3.3 对运营商的长期影响判断</w:t>
      </w:r>
    </w:p>
    <w:p w14:paraId="6F4E1485">
      <w:pPr>
        <w:pStyle w:val="3"/>
      </w:pPr>
      <w:r>
        <w:t>第二模块：AI 算力的技术体系与架构形态（2h）</w:t>
      </w:r>
    </w:p>
    <w:p w14:paraId="073C35B6">
      <w:pPr>
        <w:pStyle w:val="4"/>
      </w:pPr>
      <w:r>
        <w:t>2.1 算力的硬件基础</w:t>
      </w:r>
    </w:p>
    <w:p w14:paraId="3AE3BAE6">
      <w:r>
        <w:rPr>
          <w:b/>
        </w:rPr>
        <w:t>2.1.1 计算芯片类型与特点</w:t>
      </w:r>
    </w:p>
    <w:p w14:paraId="59A3BAEF">
      <w:pPr>
        <w:numPr>
          <w:ilvl w:val="0"/>
          <w:numId w:val="13"/>
        </w:numPr>
      </w:pPr>
      <w:r>
        <w:t>CPU、GPU、NPU、专用加速器</w:t>
      </w:r>
    </w:p>
    <w:p w14:paraId="35D43171">
      <w:r>
        <w:rPr>
          <w:b/>
        </w:rPr>
        <w:t>2.1.2 AI 芯片对算力的影响</w:t>
      </w:r>
    </w:p>
    <w:p w14:paraId="2DD5E9A5">
      <w:pPr>
        <w:numPr>
          <w:ilvl w:val="0"/>
          <w:numId w:val="14"/>
        </w:numPr>
      </w:pPr>
      <w:r>
        <w:t>并行度、能效比、适配性</w:t>
      </w:r>
    </w:p>
    <w:p w14:paraId="480A2C1C">
      <w:r>
        <w:rPr>
          <w:b/>
        </w:rPr>
        <w:t>2.1.3 国产化与自主可控背景下的算力体系</w:t>
      </w:r>
    </w:p>
    <w:p w14:paraId="7D4399BD">
      <w:pPr>
        <w:pStyle w:val="4"/>
      </w:pPr>
      <w:r>
        <w:t>2.2 算力的软件与平台支撑</w:t>
      </w:r>
    </w:p>
    <w:p w14:paraId="36FEE6BB">
      <w:r>
        <w:rPr>
          <w:b/>
        </w:rPr>
        <w:t>2.2.1 操作系统与虚拟化技术</w:t>
      </w:r>
    </w:p>
    <w:p w14:paraId="28D06511">
      <w:r>
        <w:rPr>
          <w:b/>
        </w:rPr>
        <w:t>2.2.2 容器、调度与资源管理</w:t>
      </w:r>
    </w:p>
    <w:p w14:paraId="3FDCD551">
      <w:r>
        <w:rPr>
          <w:b/>
        </w:rPr>
        <w:t>2.2.3 AI 框架与算力适配问题</w:t>
      </w:r>
    </w:p>
    <w:p w14:paraId="0A5E824A">
      <w:pPr>
        <w:pStyle w:val="4"/>
      </w:pPr>
      <w:r>
        <w:t>2.3 云—边—端协同的算力架构</w:t>
      </w:r>
    </w:p>
    <w:p w14:paraId="7FA3229D">
      <w:r>
        <w:rPr>
          <w:b/>
        </w:rPr>
        <w:t>2.3.1 为什么算力必须分层部署</w:t>
      </w:r>
    </w:p>
    <w:p w14:paraId="4E035B78">
      <w:r>
        <w:rPr>
          <w:b/>
        </w:rPr>
        <w:t>2.3.2 中心云、边缘云、端侧算力的分工</w:t>
      </w:r>
    </w:p>
    <w:p w14:paraId="25E7E026">
      <w:r>
        <w:rPr>
          <w:b/>
        </w:rPr>
        <w:t>2.3.3 对时延、带宽与可靠性的要求</w:t>
      </w:r>
    </w:p>
    <w:p w14:paraId="2E9A2634">
      <w:pPr>
        <w:pStyle w:val="3"/>
      </w:pPr>
      <w:r>
        <w:t>第三模块：AI 算力的应用模式与典型场景（1.5h）</w:t>
      </w:r>
    </w:p>
    <w:p w14:paraId="53AFBA31">
      <w:pPr>
        <w:pStyle w:val="4"/>
      </w:pPr>
      <w:r>
        <w:t>3.1 大模型与 AIGC 场景</w:t>
      </w:r>
    </w:p>
    <w:p w14:paraId="2E962620">
      <w:r>
        <w:rPr>
          <w:b/>
        </w:rPr>
        <w:t>3.1.1 大模型训练对算力的极端需求</w:t>
      </w:r>
    </w:p>
    <w:p w14:paraId="6C9BF632">
      <w:r>
        <w:rPr>
          <w:b/>
        </w:rPr>
        <w:t>3.1.2 推理算力成为规模化应用关键</w:t>
      </w:r>
    </w:p>
    <w:p w14:paraId="3EE0B909">
      <w:r>
        <w:rPr>
          <w:b/>
        </w:rPr>
        <w:t>3.1.3 算力成本与应用商业化的关系</w:t>
      </w:r>
    </w:p>
    <w:p w14:paraId="54815EE2">
      <w:pPr>
        <w:pStyle w:val="4"/>
      </w:pPr>
      <w:r>
        <w:t>3.2 行业 AI 应用场景</w:t>
      </w:r>
    </w:p>
    <w:p w14:paraId="2BB86B44">
      <w:r>
        <w:rPr>
          <w:b/>
        </w:rPr>
        <w:t>3.2.1 政务与城市治理</w:t>
      </w:r>
    </w:p>
    <w:p w14:paraId="2B3C04AD">
      <w:r>
        <w:rPr>
          <w:b/>
        </w:rPr>
        <w:t>3.2.2 工业、能源与交通</w:t>
      </w:r>
    </w:p>
    <w:p w14:paraId="09BEBEEE">
      <w:r>
        <w:rPr>
          <w:b/>
        </w:rPr>
        <w:t>3.2.3 客服、营销与运营分析</w:t>
      </w:r>
    </w:p>
    <w:p w14:paraId="1249DAAF">
      <w:pPr>
        <w:pStyle w:val="4"/>
      </w:pPr>
      <w:r>
        <w:t>3.3 AI Agent 与智能应用对算力的要求</w:t>
      </w:r>
    </w:p>
    <w:p w14:paraId="67B02D5B">
      <w:r>
        <w:rPr>
          <w:b/>
        </w:rPr>
        <w:t>3.3.1 多 Agent 并发带来的算力挑战</w:t>
      </w:r>
    </w:p>
    <w:p w14:paraId="73C41788">
      <w:r>
        <w:rPr>
          <w:b/>
        </w:rPr>
        <w:t>3.3.2 实时推理与边缘算力的重要性</w:t>
      </w:r>
    </w:p>
    <w:p w14:paraId="1FF9E2B6">
      <w:r>
        <w:rPr>
          <w:b/>
        </w:rPr>
        <w:t>3.3.3 算力弹性与资源调度能力</w:t>
      </w:r>
    </w:p>
    <w:p w14:paraId="20769F4A">
      <w:pPr>
        <w:pStyle w:val="3"/>
      </w:pPr>
      <w:r>
        <w:t>第四模块：运营商的算力布局与商业机会（1h）</w:t>
      </w:r>
    </w:p>
    <w:p w14:paraId="36EFCA7C">
      <w:pPr>
        <w:pStyle w:val="4"/>
      </w:pPr>
      <w:r>
        <w:t>4.1 运营商在算力产业链中的角色</w:t>
      </w:r>
    </w:p>
    <w:p w14:paraId="151214B6">
      <w:r>
        <w:rPr>
          <w:b/>
        </w:rPr>
        <w:t>4.1.1 基础设施提供者</w:t>
      </w:r>
    </w:p>
    <w:p w14:paraId="3B0FE183">
      <w:r>
        <w:rPr>
          <w:b/>
        </w:rPr>
        <w:t>4.1.2 算力平台与服务提供者</w:t>
      </w:r>
    </w:p>
    <w:p w14:paraId="66044CE5">
      <w:r>
        <w:rPr>
          <w:b/>
        </w:rPr>
        <w:t>4.1.3 行业算力解决方案整合者</w:t>
      </w:r>
    </w:p>
    <w:p w14:paraId="0B762813">
      <w:pPr>
        <w:pStyle w:val="4"/>
      </w:pPr>
      <w:r>
        <w:t>4.2 算力服务的主要模式</w:t>
      </w:r>
    </w:p>
    <w:p w14:paraId="7618903F">
      <w:r>
        <w:rPr>
          <w:b/>
        </w:rPr>
        <w:t>4.2.1 IaaS / PaaS / 算力即服务（CaaS）</w:t>
      </w:r>
    </w:p>
    <w:p w14:paraId="0A57F529">
      <w:r>
        <w:rPr>
          <w:b/>
        </w:rPr>
        <w:t>4.2.2 公有云、专有云与混合云算力</w:t>
      </w:r>
    </w:p>
    <w:p w14:paraId="0286BDB8">
      <w:r>
        <w:rPr>
          <w:b/>
        </w:rPr>
        <w:t>4.2.3 行业定制化算力服务</w:t>
      </w:r>
    </w:p>
    <w:p w14:paraId="08ACDE81">
      <w:pPr>
        <w:pStyle w:val="4"/>
      </w:pPr>
      <w:r>
        <w:t>4.3 算力发展的关键挑战与对策</w:t>
      </w:r>
    </w:p>
    <w:p w14:paraId="7DD31824">
      <w:r>
        <w:rPr>
          <w:b/>
        </w:rPr>
        <w:t>4.3.1 投入高、回收周期长的问题</w:t>
      </w:r>
    </w:p>
    <w:p w14:paraId="76C5ADD3">
      <w:r>
        <w:rPr>
          <w:b/>
        </w:rPr>
        <w:t>4.3.2 算力利用率与调度效率</w:t>
      </w:r>
    </w:p>
    <w:p w14:paraId="0CFB9BBD">
      <w:r>
        <w:rPr>
          <w:b/>
        </w:rPr>
        <w:t>4.3.3 与网络、数据、AI 应用的协同发展</w:t>
      </w:r>
    </w:p>
    <w:p w14:paraId="074A7271"/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3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CF092B84"/>
    <w:multiLevelType w:val="multilevel"/>
    <w:tmpl w:val="CF092B84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5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6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0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12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3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0"/>
  </w:num>
  <w:num w:numId="11">
    <w:abstractNumId w:val="9"/>
  </w:num>
  <w:num w:numId="12">
    <w:abstractNumId w:val="12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82E21B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qFormat="1"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qFormat/>
    <w:uiPriority w:val="99"/>
    <w:pPr>
      <w:ind w:left="2940" w:leftChars="1400"/>
    </w:pPr>
  </w:style>
  <w:style w:type="paragraph" w:styleId="12">
    <w:name w:val="foot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2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4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qFormat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qFormat/>
    <w:uiPriority w:val="0"/>
    <w:rPr>
      <w:color w:val="1E6FFF"/>
      <w:u w:val="single"/>
    </w:rPr>
  </w:style>
  <w:style w:type="character" w:customStyle="1" w:styleId="20">
    <w:name w:val="melo-codeblock-Base-theme-char"/>
    <w:qFormat/>
    <w:uiPriority w:val="99"/>
    <w:rPr>
      <w:rFonts w:ascii="Monaco" w:hAnsi="Monaco" w:eastAsia="Monaco" w:cs="Monaco"/>
      <w:color w:val="000000"/>
      <w:sz w:val="21"/>
    </w:rPr>
  </w:style>
  <w:style w:type="table" w:customStyle="1" w:styleId="21">
    <w:name w:val="Doc Table Column 1st"/>
    <w:basedOn w:val="17"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character" w:customStyle="1" w:styleId="22">
    <w:name w:val="副标题 字符"/>
    <w:basedOn w:val="18"/>
    <w:link w:val="14"/>
    <w:qFormat/>
    <w:uiPriority w:val="0"/>
    <w:rPr>
      <w:rFonts w:ascii="Arial" w:hAnsi="Arial" w:eastAsia="微软雅黑" w:cstheme="minorBidi"/>
      <w:b/>
      <w:bCs/>
      <w:kern w:val="28"/>
      <w:sz w:val="44"/>
      <w:szCs w:val="32"/>
    </w:rPr>
  </w:style>
  <w:style w:type="paragraph" w:customStyle="1" w:styleId="23">
    <w:name w:val="melo-codeblock-Base-theme-para"/>
    <w:qFormat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character" w:customStyle="1" w:styleId="24">
    <w:name w:val="标题 字符"/>
    <w:basedOn w:val="18"/>
    <w:link w:val="15"/>
    <w:qFormat/>
    <w:uiPriority w:val="0"/>
    <w:rPr>
      <w:rFonts w:ascii="Arial" w:hAnsi="Arial" w:eastAsia="微软雅黑" w:cstheme="majorBidi"/>
      <w:b/>
      <w:bCs/>
      <w:kern w:val="2"/>
      <w:sz w:val="4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1403</Words>
  <Characters>1646</Characters>
  <TotalTime>4</TotalTime>
  <ScaleCrop>false</ScaleCrop>
  <LinksUpToDate>false</LinksUpToDate>
  <CharactersWithSpaces>1741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2026-01-05T10:31:00Z</dcterms:created>
  <dc:creator>枫影</dc:creator>
  <cp:lastModifiedBy>枫影</cp:lastModifiedBy>
  <dcterms:modified xsi:type="dcterms:W3CDTF">2026-01-05T02:36:24Z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679B5C7E38C34064B50352698BD15C11_12</vt:lpwstr>
  </property>
</Properties>
</file>